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444A4" w:rsidRDefault="001C1723" w:rsidP="001C1723">
      <w:pPr>
        <w:spacing w:line="0pt" w:lineRule="atLeast"/>
        <w:jc w:val="center"/>
        <w:rPr>
          <w:b/>
          <w:color w:val="FF0000"/>
          <w:sz w:val="28"/>
          <w:szCs w:val="28"/>
        </w:rPr>
      </w:pPr>
      <w:r w:rsidRPr="001C1723">
        <w:rPr>
          <w:rFonts w:hint="eastAsia"/>
          <w:b/>
          <w:color w:val="FF0000"/>
          <w:sz w:val="28"/>
          <w:szCs w:val="28"/>
        </w:rPr>
        <w:t>「為政」篇及朱子注詮釋學重構</w:t>
      </w:r>
      <w:r w:rsidR="00FE0C6E" w:rsidRPr="001C1723">
        <w:rPr>
          <w:rFonts w:hint="eastAsia"/>
          <w:b/>
          <w:color w:val="FF0000"/>
          <w:sz w:val="28"/>
          <w:szCs w:val="28"/>
        </w:rPr>
        <w:t>（</w:t>
      </w:r>
      <w:r w:rsidR="005158D6">
        <w:rPr>
          <w:rFonts w:hint="eastAsia"/>
          <w:b/>
          <w:color w:val="FF0000"/>
          <w:sz w:val="28"/>
          <w:szCs w:val="28"/>
        </w:rPr>
        <w:t>一</w:t>
      </w:r>
      <w:r w:rsidR="00FE0C6E" w:rsidRPr="001C1723">
        <w:rPr>
          <w:rFonts w:hint="eastAsia"/>
          <w:b/>
          <w:color w:val="FF0000"/>
          <w:sz w:val="28"/>
          <w:szCs w:val="28"/>
        </w:rPr>
        <w:t>）</w:t>
      </w:r>
      <w:r w:rsidR="00285B01">
        <w:rPr>
          <w:rFonts w:hint="eastAsia"/>
          <w:b/>
          <w:color w:val="FF0000"/>
          <w:sz w:val="28"/>
          <w:szCs w:val="28"/>
        </w:rPr>
        <w:t>：</w:t>
      </w:r>
    </w:p>
    <w:p w:rsidR="00285B01" w:rsidRPr="001C1723" w:rsidRDefault="00285B01" w:rsidP="001C1723">
      <w:pPr>
        <w:spacing w:line="0pt" w:lineRule="atLeast"/>
        <w:jc w:val="center"/>
        <w:rPr>
          <w:rFonts w:hint="eastAsia"/>
          <w:b/>
          <w:color w:val="FF0000"/>
          <w:sz w:val="28"/>
          <w:szCs w:val="28"/>
        </w:rPr>
      </w:pPr>
      <w:r w:rsidRPr="00285B01">
        <w:rPr>
          <w:rFonts w:hint="eastAsia"/>
          <w:b/>
          <w:color w:val="FF0000"/>
          <w:sz w:val="28"/>
          <w:szCs w:val="28"/>
        </w:rPr>
        <w:t>為政篇──孔子的為政以德的政治觀</w:t>
      </w:r>
    </w:p>
    <w:p w:rsidR="001C1723" w:rsidRPr="001C1723" w:rsidRDefault="001C1723" w:rsidP="001C1723">
      <w:pPr>
        <w:pStyle w:val="1"/>
        <w:tabs>
          <w:tab w:val="num" w:pos="21.25pt"/>
        </w:tabs>
        <w:rPr>
          <w:rFonts w:hint="eastAsia"/>
        </w:rPr>
      </w:pPr>
      <w:r w:rsidRPr="001C1723">
        <w:rPr>
          <w:rFonts w:hint="eastAsia"/>
        </w:rPr>
        <w:t>概述</w:t>
      </w:r>
    </w:p>
    <w:p w:rsidR="001C1723" w:rsidRPr="001C1723" w:rsidRDefault="001C1723" w:rsidP="001C1723">
      <w:pPr>
        <w:pStyle w:val="1"/>
        <w:tabs>
          <w:tab w:val="num" w:pos="21.25pt"/>
        </w:tabs>
        <w:rPr>
          <w:rFonts w:hint="eastAsia"/>
        </w:rPr>
      </w:pPr>
      <w:r w:rsidRPr="001C1723">
        <w:rPr>
          <w:rFonts w:hint="eastAsia"/>
        </w:rPr>
        <w:t>為政以德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政者，正也。(12.17)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子曰：「為政以德，譬如北辰居其所而眾星共之。」(2.1)</w:t>
      </w:r>
    </w:p>
    <w:p w:rsidR="001C1723" w:rsidRPr="001C1723" w:rsidRDefault="001C1723" w:rsidP="001C1723">
      <w:pPr>
        <w:pStyle w:val="1"/>
        <w:tabs>
          <w:tab w:val="num" w:pos="21.25pt"/>
        </w:tabs>
        <w:rPr>
          <w:rFonts w:hint="eastAsia"/>
        </w:rPr>
      </w:pPr>
      <w:r w:rsidRPr="001C1723">
        <w:rPr>
          <w:rFonts w:hint="eastAsia"/>
        </w:rPr>
        <w:t>仁君政治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季康子問政於孔子，孔子對曰：「政者，正也，子帥以正，孰敢不正？」（12.17）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君子之德風；小人之德草；草上之風必偃。（12.19）</w:t>
      </w:r>
    </w:p>
    <w:p w:rsidR="001C1723" w:rsidRPr="001C1723" w:rsidRDefault="001C1723" w:rsidP="001C1723">
      <w:pPr>
        <w:pStyle w:val="1"/>
        <w:tabs>
          <w:tab w:val="num" w:pos="21.25pt"/>
        </w:tabs>
        <w:rPr>
          <w:rFonts w:hint="eastAsia"/>
        </w:rPr>
      </w:pPr>
      <w:r w:rsidRPr="001C1723">
        <w:rPr>
          <w:rFonts w:hint="eastAsia"/>
        </w:rPr>
        <w:t>以禮治國及從周、正名思想</w:t>
      </w:r>
    </w:p>
    <w:p w:rsidR="001C1723" w:rsidRPr="001C1723" w:rsidRDefault="001C1723" w:rsidP="001C1723">
      <w:pPr>
        <w:pStyle w:val="2"/>
        <w:spacing w:line="0pt" w:lineRule="atLeast"/>
        <w:rPr>
          <w:szCs w:val="28"/>
        </w:rPr>
      </w:pPr>
      <w:r w:rsidRPr="001C1723">
        <w:rPr>
          <w:rFonts w:hint="eastAsia"/>
          <w:szCs w:val="28"/>
        </w:rPr>
        <w:t>以禮治國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恭而無禮則勞；慎而無禮則葸；勇而無禮則亂；直而無禮則絞。君子篤於親，則民興於仁。故舊不遺，則民不偷。（8.2）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上好禮，則民易使也。」（14.41）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子曰：「道之以政，齊之以刑，民免而無恥；道之以德，齊之以禮，有恥且格。」（2.3）</w:t>
      </w:r>
    </w:p>
    <w:p w:rsidR="001C1723" w:rsidRPr="001C1723" w:rsidRDefault="001C1723" w:rsidP="001C1723">
      <w:pPr>
        <w:pStyle w:val="2"/>
        <w:spacing w:line="0pt" w:lineRule="atLeast"/>
        <w:rPr>
          <w:szCs w:val="28"/>
        </w:rPr>
      </w:pPr>
      <w:r w:rsidRPr="001C1723">
        <w:rPr>
          <w:rFonts w:hint="eastAsia"/>
          <w:szCs w:val="28"/>
        </w:rPr>
        <w:t>從周、正名思想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周監於二代，郁郁乎文哉！吾從周。（3.14）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殷因於夏禮，所損益，可知也；周因於殷禮，所損益，可知也。其或繼周者，雖百世，可知也。（</w:t>
      </w:r>
      <w:r w:rsidRPr="001C1723">
        <w:rPr>
          <w:rFonts w:ascii="標楷體" w:eastAsia="標楷體" w:hAnsi="標楷體"/>
          <w:sz w:val="28"/>
          <w:szCs w:val="28"/>
        </w:rPr>
        <w:t>2.23</w:t>
      </w:r>
      <w:r w:rsidRPr="001C1723">
        <w:rPr>
          <w:rFonts w:ascii="標楷體" w:eastAsia="標楷體" w:hAnsi="標楷體" w:hint="eastAsia"/>
          <w:sz w:val="28"/>
          <w:szCs w:val="28"/>
        </w:rPr>
        <w:t>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顏淵問「為邦」。子曰：「行夏之時，乘殷之輅，服周之冕，樂則韶舞……。」（15.11）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必也正名乎！……名不正，則言不順；言不順，則事不成；事不成，則禮樂不興；禮樂不興，則刑罰不中；刑罰不中，則民無所措手足。……」（13.3）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齊景公問政於孔子。孔子對曰：「君君、臣臣、父父、子子。」公曰：「善哉！信如君不君，臣不臣，父不父，子不子，雖有粟，吾得而食諸？」（12.11）</w:t>
      </w:r>
    </w:p>
    <w:p w:rsidR="001C1723" w:rsidRPr="001C1723" w:rsidRDefault="001C1723" w:rsidP="001C1723">
      <w:pPr>
        <w:pStyle w:val="1"/>
        <w:tabs>
          <w:tab w:val="num" w:pos="21.25pt"/>
        </w:tabs>
      </w:pPr>
      <w:r w:rsidRPr="001C1723">
        <w:rPr>
          <w:rFonts w:hint="eastAsia"/>
        </w:rPr>
        <w:t>以民為重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堯曰：「咨！爾舜！天之歷數在爾躬，允執其中！四海困窮，天祿永終。」舜亦以命禹。曰：「予小子履，敢用玄牡，敢昭告於皇皇后帝：有罪不敢赦，帝臣不蔽，簡在帝心！朕躬有罪，無以萬方；萬方有罪，罪在朕躬。」「周有大賚，善人是富。」「雖有周親，不如仁人；百姓有過，在予一人。謹權量，審法度，修廢官，四方之政行焉。興滅國，繼絕世，舉逸民，天下之民歸心焉。所重：民、食、喪、祭。寬則得眾，信則民任焉。敏則有功，公則說。」（20.1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子曰：「道千乘之國，敬事而信，節用而愛人，使民以時。」（1.5）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子貢曰：「如有博施於民而能濟眾，何如？可謂仁乎？」子曰：「何事於仁！必也聖乎！堯舜其猶病諸！夫仁者，己欲立而立人，己欲達而達人。能近取譬，可謂仁之方也已。」（6.3）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子路問「君子」。子曰：「修己以敬。」曰：「如斯而已乎？」曰：「修己以安人。」曰：「如斯而已乎？」曰：「修己以安百姓。修己以安百姓，堯舜其猶病諸。」（14.42）</w:t>
      </w:r>
    </w:p>
    <w:p w:rsidR="001C1723" w:rsidRPr="001C1723" w:rsidRDefault="001C1723" w:rsidP="001C1723">
      <w:pPr>
        <w:pStyle w:val="1"/>
        <w:tabs>
          <w:tab w:val="num" w:pos="21.25pt"/>
        </w:tabs>
        <w:rPr>
          <w:rFonts w:hint="eastAsia"/>
        </w:rPr>
      </w:pPr>
      <w:r w:rsidRPr="001C1723">
        <w:rPr>
          <w:rFonts w:hint="eastAsia"/>
        </w:rPr>
        <w:t>富民與教民</w:t>
      </w:r>
    </w:p>
    <w:p w:rsidR="001C1723" w:rsidRPr="001C1723" w:rsidRDefault="001C1723" w:rsidP="001C1723">
      <w:pPr>
        <w:pStyle w:val="2"/>
        <w:spacing w:line="0pt" w:lineRule="atLeast"/>
        <w:rPr>
          <w:szCs w:val="28"/>
        </w:rPr>
      </w:pPr>
      <w:r w:rsidRPr="001C1723">
        <w:rPr>
          <w:rFonts w:hint="eastAsia"/>
          <w:szCs w:val="28"/>
        </w:rPr>
        <w:t>富民思想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子適衛，冉有僕。子曰：「庶矣哉！」冉有曰：「既庶矣，又何加焉？」曰：「富之。」曰：「既富矣，又何加焉？」曰：「教之。」（13.9）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季氏富於周公，而求也為之聚斂而附益之。子曰：「非吾徒也，小子鳴鼓而攻之可也！」（11.17）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哀公問於有若曰：「年饑，用不足，如之何？」有若對曰：「盍徹乎！」曰：「二，吾猶不足；如之何其徹也？」對曰：「百姓足，君孰不足？百姓不足，君孰與足？」（12.09）</w:t>
      </w:r>
    </w:p>
    <w:p w:rsidR="001C1723" w:rsidRPr="001C1723" w:rsidRDefault="001C1723" w:rsidP="001C1723">
      <w:pPr>
        <w:pStyle w:val="2"/>
        <w:spacing w:line="0pt" w:lineRule="atLeast"/>
        <w:rPr>
          <w:rFonts w:hint="eastAsia"/>
          <w:szCs w:val="28"/>
        </w:rPr>
      </w:pPr>
      <w:r w:rsidRPr="001C1723">
        <w:rPr>
          <w:rFonts w:hint="eastAsia"/>
          <w:szCs w:val="28"/>
        </w:rPr>
        <w:t>教民思想及其與富民思想的比較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子貢問「政」。子曰：「足食，足兵，民信之矣。」子貢曰：「必不得已而去，於斯三者何先？」曰：「去兵。」子貢曰：「必不得已而去，於斯二者何先？」曰：「去食，自古皆有死；民無信不立。」（12.07）</w:t>
      </w:r>
    </w:p>
    <w:p w:rsidR="001C1723" w:rsidRPr="001C1723" w:rsidRDefault="001C1723" w:rsidP="001C1723">
      <w:pPr>
        <w:spacing w:line="0pt" w:lineRule="atLeast"/>
        <w:ind w:startChars="59" w:start="7.10pt"/>
        <w:rPr>
          <w:rFonts w:ascii="標楷體" w:eastAsia="標楷體" w:hAnsi="標楷體" w:hint="eastAsia"/>
          <w:sz w:val="28"/>
          <w:szCs w:val="28"/>
        </w:rPr>
      </w:pPr>
      <w:r w:rsidRPr="001C1723">
        <w:rPr>
          <w:rFonts w:ascii="標楷體" w:eastAsia="標楷體" w:hAnsi="標楷體" w:hint="eastAsia"/>
          <w:sz w:val="28"/>
          <w:szCs w:val="28"/>
        </w:rPr>
        <w:t>……丘也聞有國有家者，不患寡而患不均，不患貧而患不安。蓋均無貧，和無寡，安無傾。夫如是，故遠人不服，則修文德以來之。既來之，則安之。……（16.01）</w:t>
      </w:r>
    </w:p>
    <w:sectPr w:rsidR="001C1723" w:rsidRPr="001C1723">
      <w:headerReference w:type="even" r:id="rId7"/>
      <w:headerReference w:type="default" r:id="rId8"/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94349" w:rsidRDefault="00B94349">
      <w:r>
        <w:separator/>
      </w:r>
    </w:p>
  </w:endnote>
  <w:endnote w:type="continuationSeparator" w:id="0">
    <w:p w:rsidR="00B94349" w:rsidRDefault="00B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94349" w:rsidRDefault="00B94349">
      <w:r>
        <w:separator/>
      </w:r>
    </w:p>
  </w:footnote>
  <w:footnote w:type="continuationSeparator" w:id="0">
    <w:p w:rsidR="00B94349" w:rsidRDefault="00B9434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1723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FE4" w:rsidRDefault="00373FE4" w:rsidP="00331665">
    <w:pPr>
      <w:pStyle w:val="a6"/>
      <w:ind w:end="18pt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1723" w:rsidRDefault="00373FE4" w:rsidP="00331665">
    <w:pPr>
      <w:pStyle w:val="a6"/>
      <w:framePr w:wrap="around" w:vAnchor="text" w:hAnchor="margin" w:xAlign="right" w:y="0.05p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1723">
      <w:rPr>
        <w:rStyle w:val="a9"/>
        <w:noProof/>
      </w:rPr>
      <w:t>1</w:t>
    </w:r>
    <w:r>
      <w:rPr>
        <w:rStyle w:val="a9"/>
      </w:rPr>
      <w:fldChar w:fldCharType="end"/>
    </w:r>
  </w:p>
  <w:p w:rsidR="00373FE4" w:rsidRPr="00331665" w:rsidRDefault="00373FE4" w:rsidP="00331665">
    <w:pPr>
      <w:pStyle w:val="a6"/>
      <w:ind w:end="18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95C1B45"/>
    <w:multiLevelType w:val="singleLevel"/>
    <w:tmpl w:val="36D87C7C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9pt"/>
      </w:pPr>
      <w:rPr>
        <w:rFonts w:hint="eastAsia"/>
      </w:rPr>
    </w:lvl>
  </w:abstractNum>
  <w:abstractNum w:abstractNumId="1">
    <w:nsid w:val="341550B5"/>
    <w:multiLevelType w:val="multilevel"/>
    <w:tmpl w:val="74DC993C"/>
    <w:lvl w:ilvl="0">
      <w:start w:val="1"/>
      <w:numFmt w:val="lowerLetter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Letter"/>
      <w:lvlText w:val="%2"/>
      <w:lvlJc w:val="start"/>
      <w:pPr>
        <w:tabs>
          <w:tab w:val="num" w:pos="28.35pt"/>
        </w:tabs>
        <w:ind w:start="28.35pt" w:hanging="28.35pt"/>
      </w:pPr>
      <w:rPr>
        <w:rFonts w:hint="eastAsia"/>
      </w:rPr>
    </w:lvl>
    <w:lvl w:ilvl="2">
      <w:start w:val="1"/>
      <w:numFmt w:val="decimal"/>
      <w:pStyle w:val="3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lowerLetter"/>
      <w:pStyle w:val="4"/>
      <w:lvlText w:val="%4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4">
      <w:start w:val="1"/>
      <w:numFmt w:val="decimal"/>
      <w:lvlText w:val="%1."/>
      <w:lvlJc w:val="start"/>
      <w:pPr>
        <w:tabs>
          <w:tab w:val="num" w:pos="42.55pt"/>
        </w:tabs>
        <w:ind w:start="42.55pt" w:hanging="42.55pt"/>
      </w:pPr>
      <w:rPr>
        <w:rFonts w:hint="eastAsia"/>
      </w:rPr>
    </w:lvl>
    <w:lvl w:ilvl="5">
      <w:start w:val="1"/>
      <w:numFmt w:val="decimal"/>
      <w:lvlText w:val="%1.%2.%3.%4.%5.%6."/>
      <w:lvlJc w:val="start"/>
      <w:pPr>
        <w:tabs>
          <w:tab w:val="num" w:pos="56.70pt"/>
        </w:tabs>
        <w:ind w:start="56.70pt" w:hanging="56.70pt"/>
      </w:pPr>
      <w:rPr>
        <w:rFonts w:hint="eastAsia"/>
      </w:rPr>
    </w:lvl>
    <w:lvl w:ilvl="6">
      <w:start w:val="1"/>
      <w:numFmt w:val="decimal"/>
      <w:lvlText w:val="%1.%2.%3.%4.%5.%6.%7."/>
      <w:lvlJc w:val="start"/>
      <w:pPr>
        <w:tabs>
          <w:tab w:val="num" w:pos="63.80pt"/>
        </w:tabs>
        <w:ind w:start="63.80pt" w:hanging="63.80pt"/>
      </w:pPr>
      <w:rPr>
        <w:rFonts w:hint="eastAsia"/>
      </w:rPr>
    </w:lvl>
    <w:lvl w:ilvl="7">
      <w:start w:val="1"/>
      <w:numFmt w:val="decimal"/>
      <w:lvlText w:val="%1.%2.%3.%4.%5.%6.%7.%8."/>
      <w:lvlJc w:val="start"/>
      <w:pPr>
        <w:tabs>
          <w:tab w:val="num" w:pos="70.90pt"/>
        </w:tabs>
        <w:ind w:start="70.90pt" w:hanging="70.90pt"/>
      </w:pPr>
      <w:rPr>
        <w:rFonts w:hint="eastAsia"/>
      </w:rPr>
    </w:lvl>
    <w:lvl w:ilvl="8">
      <w:start w:val="1"/>
      <w:numFmt w:val="decimal"/>
      <w:lvlText w:val="%1.%2.%3.%4.%5.%6.%7.%8.%9."/>
      <w:lvlJc w:val="start"/>
      <w:pPr>
        <w:tabs>
          <w:tab w:val="num" w:pos="77.95pt"/>
        </w:tabs>
        <w:ind w:start="77.95pt" w:hanging="77.95pt"/>
      </w:pPr>
      <w:rPr>
        <w:rFonts w:hint="eastAsia"/>
      </w:rPr>
    </w:lvl>
  </w:abstractNum>
  <w:abstractNum w:abstractNumId="2">
    <w:nsid w:val="5C65502F"/>
    <w:multiLevelType w:val="hybridMultilevel"/>
    <w:tmpl w:val="DCA68402"/>
    <w:lvl w:ilvl="0" w:tplc="ED58FF60">
      <w:start w:val="1"/>
      <w:numFmt w:val="decimal"/>
      <w:lvlText w:val="%1."/>
      <w:lvlJc w:val="start"/>
      <w:pPr>
        <w:ind w:start="31.10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55.10pt" w:hanging="24pt"/>
      </w:pPr>
    </w:lvl>
    <w:lvl w:ilvl="2" w:tplc="0409001B" w:tentative="1">
      <w:start w:val="1"/>
      <w:numFmt w:val="lowerRoman"/>
      <w:lvlText w:val="%3."/>
      <w:lvlJc w:val="end"/>
      <w:pPr>
        <w:ind w:start="79.10pt" w:hanging="24pt"/>
      </w:pPr>
    </w:lvl>
    <w:lvl w:ilvl="3" w:tplc="0409000F" w:tentative="1">
      <w:start w:val="1"/>
      <w:numFmt w:val="decimal"/>
      <w:lvlText w:val="%4."/>
      <w:lvlJc w:val="start"/>
      <w:pPr>
        <w:ind w:start="103.1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7.10pt" w:hanging="24pt"/>
      </w:pPr>
    </w:lvl>
    <w:lvl w:ilvl="5" w:tplc="0409001B" w:tentative="1">
      <w:start w:val="1"/>
      <w:numFmt w:val="lowerRoman"/>
      <w:lvlText w:val="%6."/>
      <w:lvlJc w:val="end"/>
      <w:pPr>
        <w:ind w:start="151.10pt" w:hanging="24pt"/>
      </w:pPr>
    </w:lvl>
    <w:lvl w:ilvl="6" w:tplc="0409000F" w:tentative="1">
      <w:start w:val="1"/>
      <w:numFmt w:val="decimal"/>
      <w:lvlText w:val="%7."/>
      <w:lvlJc w:val="start"/>
      <w:pPr>
        <w:ind w:start="175.1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9.10pt" w:hanging="24pt"/>
      </w:pPr>
    </w:lvl>
    <w:lvl w:ilvl="8" w:tplc="0409001B" w:tentative="1">
      <w:start w:val="1"/>
      <w:numFmt w:val="lowerRoman"/>
      <w:lvlText w:val="%9."/>
      <w:lvlJc w:val="end"/>
      <w:pPr>
        <w:ind w:start="223.10pt" w:hanging="24pt"/>
      </w:pPr>
    </w:lvl>
  </w:abstractNum>
  <w:abstractNum w:abstractNumId="3">
    <w:nsid w:val="6C83237B"/>
    <w:multiLevelType w:val="multilevel"/>
    <w:tmpl w:val="50809318"/>
    <w:lvl w:ilvl="0">
      <w:start w:val="1"/>
      <w:numFmt w:val="taiwaneseCountingThousand"/>
      <w:pStyle w:val="1"/>
      <w:lvlText w:val="%1"/>
      <w:lvlJc w:val="start"/>
      <w:pPr>
        <w:tabs>
          <w:tab w:val="num" w:pos="21.25pt"/>
        </w:tabs>
        <w:ind w:start="21.25pt" w:hanging="21.25pt"/>
      </w:pPr>
      <w:rPr>
        <w:rFonts w:hint="eastAsia"/>
      </w:rPr>
    </w:lvl>
    <w:lvl w:ilvl="1">
      <w:start w:val="1"/>
      <w:numFmt w:val="upperRoman"/>
      <w:pStyle w:val="2"/>
      <w:lvlText w:val="%2"/>
      <w:lvlJc w:val="start"/>
      <w:pPr>
        <w:tabs>
          <w:tab w:val="num" w:pos="49.60pt"/>
        </w:tabs>
        <w:ind w:start="49.60pt" w:hanging="28.35pt"/>
      </w:pPr>
      <w:rPr>
        <w:rFonts w:hint="eastAsia"/>
      </w:rPr>
    </w:lvl>
    <w:lvl w:ilvl="2">
      <w:start w:val="1"/>
      <w:numFmt w:val="decimal"/>
      <w:lvlText w:val="%3"/>
      <w:lvlJc w:val="start"/>
      <w:pPr>
        <w:tabs>
          <w:tab w:val="num" w:pos="70.90pt"/>
        </w:tabs>
        <w:ind w:start="70.90pt" w:hanging="28.35pt"/>
      </w:pPr>
      <w:rPr>
        <w:rFonts w:hint="eastAsia"/>
      </w:rPr>
    </w:lvl>
    <w:lvl w:ilvl="3">
      <w:start w:val="1"/>
      <w:numFmt w:val="none"/>
      <w:lvlText w:val="%1.%2.%3.%4"/>
      <w:lvlJc w:val="start"/>
      <w:pPr>
        <w:tabs>
          <w:tab w:val="num" w:pos="117.80pt"/>
        </w:tabs>
        <w:ind w:start="99.20pt" w:hanging="35.4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tabs>
          <w:tab w:val="num" w:pos="139.05pt"/>
        </w:tabs>
        <w:ind w:start="127.55pt" w:hanging="42.5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tabs>
          <w:tab w:val="num" w:pos="178.3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217.55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238.8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278.10pt"/>
        </w:tabs>
        <w:ind w:start="255.10pt" w:hanging="85pt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web"/>
  <w:zoom w:percent="100%"/>
  <w:bordersDoNotSurroundHeader/>
  <w:bordersDoNotSurroundFooter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4"/>
    <w:rsid w:val="0001275E"/>
    <w:rsid w:val="000253C8"/>
    <w:rsid w:val="00035FBC"/>
    <w:rsid w:val="00047DAE"/>
    <w:rsid w:val="000702A6"/>
    <w:rsid w:val="000A4AAC"/>
    <w:rsid w:val="000D306F"/>
    <w:rsid w:val="000D37AB"/>
    <w:rsid w:val="000E02A1"/>
    <w:rsid w:val="00132A27"/>
    <w:rsid w:val="0014748A"/>
    <w:rsid w:val="001507CD"/>
    <w:rsid w:val="001C1723"/>
    <w:rsid w:val="001E79A6"/>
    <w:rsid w:val="002041B9"/>
    <w:rsid w:val="0023248A"/>
    <w:rsid w:val="0025506A"/>
    <w:rsid w:val="00285B01"/>
    <w:rsid w:val="002910B4"/>
    <w:rsid w:val="002A538B"/>
    <w:rsid w:val="002C2DD3"/>
    <w:rsid w:val="002F3BF8"/>
    <w:rsid w:val="00321A7C"/>
    <w:rsid w:val="00331665"/>
    <w:rsid w:val="003469D3"/>
    <w:rsid w:val="00373FE4"/>
    <w:rsid w:val="00392DC4"/>
    <w:rsid w:val="003A2AD4"/>
    <w:rsid w:val="003A3D4A"/>
    <w:rsid w:val="003C16E6"/>
    <w:rsid w:val="003D481E"/>
    <w:rsid w:val="003E2F2C"/>
    <w:rsid w:val="00401815"/>
    <w:rsid w:val="00406DB5"/>
    <w:rsid w:val="00413B3E"/>
    <w:rsid w:val="0043405C"/>
    <w:rsid w:val="004451E3"/>
    <w:rsid w:val="00450241"/>
    <w:rsid w:val="004555A7"/>
    <w:rsid w:val="00474F9F"/>
    <w:rsid w:val="00485576"/>
    <w:rsid w:val="004A1DE7"/>
    <w:rsid w:val="004B79DD"/>
    <w:rsid w:val="004D26A6"/>
    <w:rsid w:val="004E0B32"/>
    <w:rsid w:val="004E57D2"/>
    <w:rsid w:val="00506E3E"/>
    <w:rsid w:val="005158D6"/>
    <w:rsid w:val="005170A8"/>
    <w:rsid w:val="00521299"/>
    <w:rsid w:val="00533907"/>
    <w:rsid w:val="0058549E"/>
    <w:rsid w:val="005919F5"/>
    <w:rsid w:val="005A6C24"/>
    <w:rsid w:val="005B2D93"/>
    <w:rsid w:val="005C1F41"/>
    <w:rsid w:val="005F7CFD"/>
    <w:rsid w:val="00650ED5"/>
    <w:rsid w:val="00673FA1"/>
    <w:rsid w:val="00684F93"/>
    <w:rsid w:val="006E0369"/>
    <w:rsid w:val="00711134"/>
    <w:rsid w:val="007228DB"/>
    <w:rsid w:val="00723DE0"/>
    <w:rsid w:val="00732F15"/>
    <w:rsid w:val="0073716B"/>
    <w:rsid w:val="00763DD3"/>
    <w:rsid w:val="00766E34"/>
    <w:rsid w:val="007732F6"/>
    <w:rsid w:val="007A7C1F"/>
    <w:rsid w:val="007C1D59"/>
    <w:rsid w:val="007C2752"/>
    <w:rsid w:val="007E3108"/>
    <w:rsid w:val="007E3841"/>
    <w:rsid w:val="007E7CF9"/>
    <w:rsid w:val="00817354"/>
    <w:rsid w:val="00830C40"/>
    <w:rsid w:val="008410EE"/>
    <w:rsid w:val="0088079C"/>
    <w:rsid w:val="00890FBE"/>
    <w:rsid w:val="008B082E"/>
    <w:rsid w:val="008B79EF"/>
    <w:rsid w:val="008D0D3F"/>
    <w:rsid w:val="008E2922"/>
    <w:rsid w:val="008E5F19"/>
    <w:rsid w:val="00904E6C"/>
    <w:rsid w:val="00924B79"/>
    <w:rsid w:val="00925304"/>
    <w:rsid w:val="0093122F"/>
    <w:rsid w:val="00931C17"/>
    <w:rsid w:val="0099643C"/>
    <w:rsid w:val="0099725B"/>
    <w:rsid w:val="009A1B2F"/>
    <w:rsid w:val="009F1070"/>
    <w:rsid w:val="00A212EA"/>
    <w:rsid w:val="00A4300B"/>
    <w:rsid w:val="00A605FF"/>
    <w:rsid w:val="00A7628F"/>
    <w:rsid w:val="00AB4E0E"/>
    <w:rsid w:val="00B07634"/>
    <w:rsid w:val="00B1177C"/>
    <w:rsid w:val="00B73F72"/>
    <w:rsid w:val="00B94349"/>
    <w:rsid w:val="00BD02C1"/>
    <w:rsid w:val="00BE6C2D"/>
    <w:rsid w:val="00C1279B"/>
    <w:rsid w:val="00C531FF"/>
    <w:rsid w:val="00C65F66"/>
    <w:rsid w:val="00CA7D22"/>
    <w:rsid w:val="00CD3B82"/>
    <w:rsid w:val="00CE206E"/>
    <w:rsid w:val="00D00BF4"/>
    <w:rsid w:val="00D11605"/>
    <w:rsid w:val="00D33BB7"/>
    <w:rsid w:val="00D4009A"/>
    <w:rsid w:val="00D43C2A"/>
    <w:rsid w:val="00D51560"/>
    <w:rsid w:val="00D53B25"/>
    <w:rsid w:val="00D62797"/>
    <w:rsid w:val="00D96737"/>
    <w:rsid w:val="00DA20C6"/>
    <w:rsid w:val="00DA5370"/>
    <w:rsid w:val="00DE68C3"/>
    <w:rsid w:val="00E02FFE"/>
    <w:rsid w:val="00E0356D"/>
    <w:rsid w:val="00E160F8"/>
    <w:rsid w:val="00E31E2A"/>
    <w:rsid w:val="00E35053"/>
    <w:rsid w:val="00E441D3"/>
    <w:rsid w:val="00E444A4"/>
    <w:rsid w:val="00EA2D7B"/>
    <w:rsid w:val="00EB2B32"/>
    <w:rsid w:val="00EE33D0"/>
    <w:rsid w:val="00EF31AA"/>
    <w:rsid w:val="00F0239F"/>
    <w:rsid w:val="00F06C83"/>
    <w:rsid w:val="00F161A7"/>
    <w:rsid w:val="00F30A72"/>
    <w:rsid w:val="00F40A49"/>
    <w:rsid w:val="00F51521"/>
    <w:rsid w:val="00F8327D"/>
    <w:rsid w:val="00F94ED6"/>
    <w:rsid w:val="00FC0820"/>
    <w:rsid w:val="00FE0C6E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F5D722B-C55D-4FB5-9E0C-083A07F8AF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A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0D306F"/>
    <w:pPr>
      <w:keepNext/>
      <w:numPr>
        <w:numId w:val="1"/>
      </w:numPr>
      <w:tabs>
        <w:tab w:val="clear" w:pos="21.25pt"/>
      </w:tabs>
      <w:spacing w:before="9pt" w:after="9pt" w:line="0pt" w:lineRule="atLeast"/>
      <w:outlineLvl w:val="0"/>
    </w:pPr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paragraph" w:styleId="2">
    <w:name w:val="heading 2"/>
    <w:basedOn w:val="a"/>
    <w:next w:val="a0"/>
    <w:link w:val="20"/>
    <w:autoRedefine/>
    <w:qFormat/>
    <w:rsid w:val="0001275E"/>
    <w:pPr>
      <w:keepNext/>
      <w:numPr>
        <w:ilvl w:val="1"/>
        <w:numId w:val="1"/>
      </w:numPr>
      <w:outlineLvl w:val="1"/>
    </w:pPr>
    <w:rPr>
      <w:rFonts w:ascii="Arial" w:hAnsi="Arial"/>
      <w:color w:val="800080"/>
      <w:sz w:val="28"/>
      <w:u w:val="single"/>
    </w:rPr>
  </w:style>
  <w:style w:type="paragraph" w:styleId="3">
    <w:name w:val="heading 3"/>
    <w:basedOn w:val="a"/>
    <w:next w:val="a0"/>
    <w:link w:val="30"/>
    <w:autoRedefine/>
    <w:qFormat/>
    <w:rsid w:val="0001275E"/>
    <w:pPr>
      <w:keepNext/>
      <w:numPr>
        <w:ilvl w:val="2"/>
        <w:numId w:val="2"/>
      </w:numPr>
      <w:spacing w:line="0pt" w:lineRule="atLeast"/>
      <w:outlineLvl w:val="2"/>
    </w:pPr>
    <w:rPr>
      <w:rFonts w:ascii="Arial" w:hAnsi="Arial"/>
      <w:color w:val="0000FF"/>
      <w:sz w:val="28"/>
      <w:szCs w:val="28"/>
      <w:u w:val="single"/>
    </w:rPr>
  </w:style>
  <w:style w:type="paragraph" w:styleId="4">
    <w:name w:val="heading 4"/>
    <w:basedOn w:val="a"/>
    <w:next w:val="a0"/>
    <w:qFormat/>
    <w:rsid w:val="000A4AAC"/>
    <w:pPr>
      <w:keepNext/>
      <w:numPr>
        <w:ilvl w:val="3"/>
        <w:numId w:val="2"/>
      </w:numPr>
      <w:spacing w:line="0pt" w:lineRule="atLeast"/>
      <w:ind w:start="114.55pt"/>
      <w:outlineLvl w:val="3"/>
    </w:pPr>
    <w:rPr>
      <w:rFonts w:ascii="Arial" w:hAnsi="Arial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start="24pt"/>
    </w:pPr>
  </w:style>
  <w:style w:type="paragraph" w:styleId="a4">
    <w:name w:val="Plain Text"/>
    <w:aliases w:val="一般文字 字元"/>
    <w:basedOn w:val="a"/>
    <w:link w:val="a5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5">
    <w:name w:val="純文字 字元"/>
    <w:aliases w:val="一般文字 字元 字元1"/>
    <w:link w:val="a4"/>
    <w:rsid w:val="00DA20C6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8">
    <w:name w:val="一般文字 字元 字元"/>
    <w:rsid w:val="00331665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9">
    <w:name w:val="page number"/>
    <w:basedOn w:val="a1"/>
    <w:rsid w:val="00331665"/>
  </w:style>
  <w:style w:type="paragraph" w:styleId="aa">
    <w:name w:val="Body Text Indent"/>
    <w:basedOn w:val="a"/>
    <w:rsid w:val="00FC0820"/>
    <w:pPr>
      <w:ind w:start="9pt" w:hangingChars="75" w:hanging="9pt"/>
    </w:pPr>
    <w:rPr>
      <w:rFonts w:ascii="標楷體" w:eastAsia="標楷體"/>
    </w:rPr>
  </w:style>
  <w:style w:type="paragraph" w:styleId="Web">
    <w:name w:val="Normal (Web)"/>
    <w:basedOn w:val="a"/>
    <w:rsid w:val="00FC0820"/>
    <w:pPr>
      <w:widowControl/>
      <w:spacing w:before="5pt" w:beforeAutospacing="1" w:after="5pt" w:afterAutospacing="1"/>
    </w:pPr>
    <w:rPr>
      <w:rFonts w:ascii="新細明體" w:hint="eastAsia"/>
      <w:kern w:val="0"/>
    </w:rPr>
  </w:style>
  <w:style w:type="character" w:styleId="ab">
    <w:name w:val="Hyperlink"/>
    <w:rsid w:val="004E57D2"/>
    <w:rPr>
      <w:color w:val="0000FF"/>
      <w:u w:val="single"/>
    </w:rPr>
  </w:style>
  <w:style w:type="paragraph" w:styleId="ac">
    <w:name w:val="Balloon Text"/>
    <w:basedOn w:val="a"/>
    <w:semiHidden/>
    <w:rsid w:val="00890FBE"/>
    <w:rPr>
      <w:rFonts w:ascii="Arial" w:hAnsi="Arial"/>
      <w:sz w:val="18"/>
      <w:szCs w:val="18"/>
    </w:rPr>
  </w:style>
  <w:style w:type="paragraph" w:styleId="31">
    <w:name w:val="Body Text Indent 3"/>
    <w:basedOn w:val="a"/>
    <w:rsid w:val="002A538B"/>
    <w:pPr>
      <w:spacing w:after="6pt"/>
      <w:ind w:start="24pt"/>
    </w:pPr>
    <w:rPr>
      <w:sz w:val="16"/>
      <w:szCs w:val="16"/>
    </w:rPr>
  </w:style>
  <w:style w:type="paragraph" w:styleId="21">
    <w:name w:val="Body Text Indent 2"/>
    <w:basedOn w:val="a"/>
    <w:rsid w:val="00D62797"/>
    <w:pPr>
      <w:ind w:start="9pt" w:hanging="9pt"/>
    </w:pPr>
    <w:rPr>
      <w:rFonts w:ascii="新細明體"/>
    </w:rPr>
  </w:style>
  <w:style w:type="paragraph" w:styleId="ad">
    <w:name w:val="Document Map"/>
    <w:basedOn w:val="a"/>
    <w:link w:val="ae"/>
    <w:uiPriority w:val="99"/>
    <w:semiHidden/>
    <w:unhideWhenUsed/>
    <w:rsid w:val="002C2DD3"/>
    <w:rPr>
      <w:rFonts w:ascii="新細明體"/>
      <w:sz w:val="18"/>
      <w:szCs w:val="18"/>
    </w:rPr>
  </w:style>
  <w:style w:type="character" w:customStyle="1" w:styleId="ae">
    <w:name w:val="文件引導模式 字元"/>
    <w:link w:val="ad"/>
    <w:uiPriority w:val="99"/>
    <w:semiHidden/>
    <w:rsid w:val="002C2DD3"/>
    <w:rPr>
      <w:rFonts w:ascii="新細明體"/>
      <w:kern w:val="2"/>
      <w:sz w:val="18"/>
      <w:szCs w:val="18"/>
    </w:rPr>
  </w:style>
  <w:style w:type="character" w:customStyle="1" w:styleId="30">
    <w:name w:val="標題 3 字元"/>
    <w:link w:val="3"/>
    <w:rsid w:val="00DA5370"/>
    <w:rPr>
      <w:rFonts w:ascii="Arial" w:hAnsi="Arial"/>
      <w:color w:val="0000FF"/>
      <w:kern w:val="2"/>
      <w:sz w:val="28"/>
      <w:szCs w:val="28"/>
      <w:u w:val="single"/>
    </w:rPr>
  </w:style>
  <w:style w:type="character" w:customStyle="1" w:styleId="10">
    <w:name w:val="標題 1 字元"/>
    <w:link w:val="1"/>
    <w:rsid w:val="00FE0C6E"/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character" w:customStyle="1" w:styleId="20">
    <w:name w:val="標題 2 字元"/>
    <w:link w:val="2"/>
    <w:rsid w:val="00FE0C6E"/>
    <w:rPr>
      <w:rFonts w:ascii="Arial" w:hAnsi="Arial"/>
      <w:color w:val="800080"/>
      <w:kern w:val="2"/>
      <w:sz w:val="28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au%20Kwai%20Piu\AppData\Roaming\Microsoft\Templates\CourseT.dot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CourseT.dot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>CUHK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中國文化導論講者筆記</dc:title>
  <dc:subject/>
  <dc:creator>Lau Kwai Piu</dc:creator>
  <cp:keywords/>
  <cp:lastModifiedBy>Lau Kwai Piu</cp:lastModifiedBy>
  <cp:revision>8</cp:revision>
  <cp:lastPrinted>2003-07-05T07:09:00Z</cp:lastPrinted>
  <dcterms:created xsi:type="dcterms:W3CDTF">2015-09-10T16:38:00Z</dcterms:created>
  <dcterms:modified xsi:type="dcterms:W3CDTF">2015-10-21T13:47:00Z</dcterms:modified>
</cp:coreProperties>
</file>